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1ED4" w14:textId="77777777" w:rsidR="0035523C" w:rsidRDefault="0035523C" w:rsidP="0035523C">
      <w:pPr>
        <w:spacing w:after="0"/>
      </w:pPr>
    </w:p>
    <w:p w14:paraId="62E16504" w14:textId="54F89EBC" w:rsidR="0035523C" w:rsidRPr="0035523C" w:rsidRDefault="0035523C" w:rsidP="0035523C">
      <w:pPr>
        <w:spacing w:after="0"/>
      </w:pPr>
      <w:r w:rsidRPr="0035523C">
        <w:t>This policy clarifies responsibilities, reduces confusion and disputes, ensures proper maintenance of the plumbing system, and protects both the KBC Association and unit owners.</w:t>
      </w:r>
      <w:r>
        <w:t xml:space="preserve">  </w:t>
      </w:r>
      <w:r w:rsidRPr="0035523C">
        <w:t xml:space="preserve">Upon discovery of any sewer or drain line issue, all agents and unit owners must notify the </w:t>
      </w:r>
      <w:r w:rsidRPr="0035523C">
        <w:rPr>
          <w:b/>
          <w:bCs/>
        </w:rPr>
        <w:t>Resident Manager immediately</w:t>
      </w:r>
      <w:r w:rsidRPr="0035523C">
        <w:t xml:space="preserve"> before any work or repairs commence. All inspections, repairs, and clog-clearing activities related to sewer and drain lines must be initiated and coordinated by the KBC Resident Manager.</w:t>
      </w:r>
      <w:r>
        <w:t xml:space="preserve">  </w:t>
      </w:r>
      <w:r w:rsidRPr="0035523C">
        <w:t>Any work initiated by an owner or agent without prior authorization from KBC may result in the initiating party being responsible for all related costs. This includes the invoice for the unauthorized work as well as any additional inspections or repairs required by KBC’s licensed plumber.</w:t>
      </w:r>
    </w:p>
    <w:p w14:paraId="23D2A381" w14:textId="77777777" w:rsidR="0035523C" w:rsidRDefault="0035523C" w:rsidP="0035523C">
      <w:pPr>
        <w:spacing w:after="0"/>
        <w:rPr>
          <w:b/>
          <w:bCs/>
        </w:rPr>
      </w:pPr>
    </w:p>
    <w:p w14:paraId="7BED3646" w14:textId="3D8B4B40" w:rsidR="0035523C" w:rsidRPr="0035523C" w:rsidRDefault="0035523C" w:rsidP="0035523C">
      <w:pPr>
        <w:spacing w:after="0"/>
        <w:rPr>
          <w:b/>
          <w:bCs/>
          <w:sz w:val="24"/>
          <w:szCs w:val="24"/>
        </w:rPr>
      </w:pPr>
      <w:r w:rsidRPr="0035523C">
        <w:rPr>
          <w:b/>
          <w:bCs/>
          <w:sz w:val="24"/>
          <w:szCs w:val="24"/>
        </w:rPr>
        <w:t>What KBC Is Responsible For</w:t>
      </w:r>
    </w:p>
    <w:p w14:paraId="78354C4C" w14:textId="77777777" w:rsidR="0035523C" w:rsidRPr="0035523C" w:rsidRDefault="0035523C" w:rsidP="0035523C">
      <w:pPr>
        <w:spacing w:after="0"/>
        <w:rPr>
          <w:b/>
          <w:bCs/>
        </w:rPr>
      </w:pPr>
    </w:p>
    <w:p w14:paraId="564803E1" w14:textId="77777777" w:rsidR="0035523C" w:rsidRPr="0035523C" w:rsidRDefault="0035523C" w:rsidP="0035523C">
      <w:pPr>
        <w:spacing w:after="0"/>
      </w:pPr>
      <w:r w:rsidRPr="0035523C">
        <w:t>KBC is responsible for maintaining, repairing, and replacing:</w:t>
      </w:r>
    </w:p>
    <w:p w14:paraId="23C9B0AC" w14:textId="77777777" w:rsidR="0035523C" w:rsidRPr="0035523C" w:rsidRDefault="0035523C" w:rsidP="0035523C">
      <w:pPr>
        <w:numPr>
          <w:ilvl w:val="0"/>
          <w:numId w:val="9"/>
        </w:numPr>
        <w:spacing w:after="0"/>
      </w:pPr>
      <w:r w:rsidRPr="0035523C">
        <w:rPr>
          <w:b/>
          <w:bCs/>
        </w:rPr>
        <w:t>Main Lines:</w:t>
      </w:r>
      <w:r w:rsidRPr="0035523C">
        <w:t xml:space="preserve"> Sewer and drain lines that serve more than one unit.</w:t>
      </w:r>
    </w:p>
    <w:p w14:paraId="0B8B7979" w14:textId="77777777" w:rsidR="0035523C" w:rsidRPr="0035523C" w:rsidRDefault="0035523C" w:rsidP="0035523C">
      <w:pPr>
        <w:numPr>
          <w:ilvl w:val="0"/>
          <w:numId w:val="9"/>
        </w:numPr>
        <w:spacing w:after="0"/>
      </w:pPr>
      <w:r w:rsidRPr="0035523C">
        <w:rPr>
          <w:b/>
          <w:bCs/>
        </w:rPr>
        <w:t>Original Cast Iron:</w:t>
      </w:r>
      <w:r w:rsidRPr="0035523C">
        <w:t xml:space="preserve"> Original cast iron lines, even if they serve only one unit, provided they are:</w:t>
      </w:r>
    </w:p>
    <w:p w14:paraId="00BFD946" w14:textId="77777777" w:rsidR="0035523C" w:rsidRPr="0035523C" w:rsidRDefault="0035523C" w:rsidP="0035523C">
      <w:pPr>
        <w:numPr>
          <w:ilvl w:val="1"/>
          <w:numId w:val="9"/>
        </w:numPr>
        <w:spacing w:after="0"/>
      </w:pPr>
      <w:r w:rsidRPr="0035523C">
        <w:t>Located in floors, ceilings, walls, or other common areas.</w:t>
      </w:r>
    </w:p>
    <w:p w14:paraId="5AFEFC63" w14:textId="77777777" w:rsidR="0035523C" w:rsidRPr="0035523C" w:rsidRDefault="0035523C" w:rsidP="0035523C">
      <w:pPr>
        <w:numPr>
          <w:ilvl w:val="1"/>
          <w:numId w:val="9"/>
        </w:numPr>
        <w:spacing w:after="0"/>
      </w:pPr>
      <w:r w:rsidRPr="0035523C">
        <w:t>Located inside adjacent or lower units.</w:t>
      </w:r>
    </w:p>
    <w:p w14:paraId="03255762" w14:textId="77777777" w:rsidR="0035523C" w:rsidRPr="0035523C" w:rsidRDefault="0035523C" w:rsidP="0035523C">
      <w:pPr>
        <w:numPr>
          <w:ilvl w:val="1"/>
          <w:numId w:val="9"/>
        </w:numPr>
        <w:spacing w:after="0"/>
      </w:pPr>
      <w:r w:rsidRPr="0035523C">
        <w:t>Not accessible from inside the unit.</w:t>
      </w:r>
    </w:p>
    <w:p w14:paraId="4A95FB61" w14:textId="77777777" w:rsidR="0035523C" w:rsidRPr="0035523C" w:rsidRDefault="0035523C" w:rsidP="0035523C">
      <w:pPr>
        <w:numPr>
          <w:ilvl w:val="0"/>
          <w:numId w:val="9"/>
        </w:numPr>
        <w:spacing w:after="0"/>
      </w:pPr>
      <w:r w:rsidRPr="0035523C">
        <w:rPr>
          <w:b/>
          <w:bCs/>
        </w:rPr>
        <w:t>System Failures:</w:t>
      </w:r>
      <w:r w:rsidRPr="0035523C">
        <w:t xml:space="preserve"> Issues due to age or deterioration, including corroded pipes, leaks, and broken or loose fittings.</w:t>
      </w:r>
    </w:p>
    <w:p w14:paraId="76D99B98" w14:textId="77777777" w:rsidR="0035523C" w:rsidRPr="0035523C" w:rsidRDefault="0035523C" w:rsidP="0035523C">
      <w:pPr>
        <w:spacing w:after="0"/>
      </w:pPr>
      <w:r w:rsidRPr="0035523C">
        <w:t>All Association-responsible work is performed by KBC-approved plumbers at the Association’s expense.</w:t>
      </w:r>
    </w:p>
    <w:p w14:paraId="0101FC7D" w14:textId="77777777" w:rsidR="0035523C" w:rsidRDefault="0035523C" w:rsidP="0035523C">
      <w:pPr>
        <w:spacing w:after="0"/>
        <w:rPr>
          <w:b/>
          <w:bCs/>
        </w:rPr>
      </w:pPr>
    </w:p>
    <w:p w14:paraId="15330185" w14:textId="3FDEE911" w:rsidR="0035523C" w:rsidRPr="0035523C" w:rsidRDefault="0035523C" w:rsidP="0035523C">
      <w:pPr>
        <w:spacing w:after="0"/>
        <w:rPr>
          <w:b/>
          <w:bCs/>
          <w:sz w:val="24"/>
          <w:szCs w:val="24"/>
        </w:rPr>
      </w:pPr>
      <w:r w:rsidRPr="0035523C">
        <w:rPr>
          <w:b/>
          <w:bCs/>
          <w:sz w:val="24"/>
          <w:szCs w:val="24"/>
        </w:rPr>
        <w:t>What Unit Owners Are Responsible For</w:t>
      </w:r>
    </w:p>
    <w:p w14:paraId="64CDD08B" w14:textId="77777777" w:rsidR="0035523C" w:rsidRDefault="0035523C" w:rsidP="0035523C">
      <w:pPr>
        <w:spacing w:after="0"/>
      </w:pPr>
    </w:p>
    <w:p w14:paraId="60CE02FD" w14:textId="443FF604" w:rsidR="0035523C" w:rsidRPr="0035523C" w:rsidRDefault="0035523C" w:rsidP="0035523C">
      <w:pPr>
        <w:spacing w:after="0"/>
      </w:pPr>
      <w:r w:rsidRPr="0035523C">
        <w:t>Unit owners are responsible for:</w:t>
      </w:r>
    </w:p>
    <w:p w14:paraId="5A557C2D" w14:textId="77777777" w:rsidR="0035523C" w:rsidRPr="0035523C" w:rsidRDefault="0035523C" w:rsidP="0035523C">
      <w:pPr>
        <w:numPr>
          <w:ilvl w:val="0"/>
          <w:numId w:val="10"/>
        </w:numPr>
        <w:spacing w:after="0"/>
      </w:pPr>
      <w:r w:rsidRPr="0035523C">
        <w:rPr>
          <w:b/>
          <w:bCs/>
        </w:rPr>
        <w:t>Clogs Caused by Use:</w:t>
      </w:r>
      <w:r w:rsidRPr="0035523C">
        <w:t xml:space="preserve"> If a clog is caused by materials introduced from a specific unit (e.g., wipes, grease, food waste, or improper use of fixtures), the cost to clear the clog and any resulting damages will be charged to that unit owner—even if the backup occurs in another unit or a common area.</w:t>
      </w:r>
    </w:p>
    <w:p w14:paraId="1C89A324" w14:textId="22C45284" w:rsidR="0035523C" w:rsidRPr="0035523C" w:rsidRDefault="0035523C" w:rsidP="0035523C">
      <w:pPr>
        <w:numPr>
          <w:ilvl w:val="0"/>
          <w:numId w:val="10"/>
        </w:numPr>
        <w:spacing w:after="0"/>
      </w:pPr>
      <w:r w:rsidRPr="0035523C">
        <w:rPr>
          <w:b/>
          <w:bCs/>
        </w:rPr>
        <w:t>Modified or Added Lines:</w:t>
      </w:r>
      <w:r w:rsidRPr="0035523C">
        <w:t xml:space="preserve"> Drain lines within the unit that were added, altered, or replaced after original construction (e.g., ABS or PVC piping often found in remodeled kitchens</w:t>
      </w:r>
      <w:r>
        <w:t>, bathrooms</w:t>
      </w:r>
      <w:r w:rsidRPr="0035523C">
        <w:t xml:space="preserve"> or laundry areas).</w:t>
      </w:r>
    </w:p>
    <w:p w14:paraId="674458EB" w14:textId="77777777" w:rsidR="0035523C" w:rsidRPr="0035523C" w:rsidRDefault="0035523C" w:rsidP="0035523C">
      <w:pPr>
        <w:numPr>
          <w:ilvl w:val="0"/>
          <w:numId w:val="10"/>
        </w:numPr>
        <w:spacing w:after="0"/>
      </w:pPr>
      <w:r w:rsidRPr="0035523C">
        <w:rPr>
          <w:b/>
          <w:bCs/>
        </w:rPr>
        <w:t>Dedicated Lines:</w:t>
      </w:r>
      <w:r w:rsidRPr="0035523C">
        <w:t xml:space="preserve"> Any line that serves one individual unit or fixture and is located within that unit. Owner responsibility extends from the fixture to the point where the line connects to the Association’s main drain.</w:t>
      </w:r>
    </w:p>
    <w:p w14:paraId="33CEB3A4" w14:textId="77777777" w:rsidR="0035523C" w:rsidRDefault="0035523C" w:rsidP="0035523C">
      <w:pPr>
        <w:spacing w:after="0"/>
        <w:rPr>
          <w:b/>
          <w:bCs/>
        </w:rPr>
      </w:pPr>
    </w:p>
    <w:p w14:paraId="44141C18" w14:textId="609E4BCC" w:rsidR="0035523C" w:rsidRPr="0035523C" w:rsidRDefault="0035523C" w:rsidP="0035523C">
      <w:pPr>
        <w:spacing w:after="0"/>
        <w:rPr>
          <w:b/>
          <w:bCs/>
          <w:sz w:val="24"/>
          <w:szCs w:val="24"/>
        </w:rPr>
      </w:pPr>
      <w:r w:rsidRPr="0035523C">
        <w:rPr>
          <w:b/>
          <w:bCs/>
          <w:sz w:val="24"/>
          <w:szCs w:val="24"/>
        </w:rPr>
        <w:t>How Responsibility Is Determined</w:t>
      </w:r>
    </w:p>
    <w:p w14:paraId="598327FC" w14:textId="77777777" w:rsidR="0035523C" w:rsidRPr="0035523C" w:rsidRDefault="0035523C" w:rsidP="0035523C">
      <w:pPr>
        <w:spacing w:after="0"/>
        <w:rPr>
          <w:b/>
          <w:bCs/>
        </w:rPr>
      </w:pPr>
    </w:p>
    <w:p w14:paraId="52868DB3" w14:textId="77777777" w:rsidR="0035523C" w:rsidRPr="0035523C" w:rsidRDefault="0035523C" w:rsidP="0035523C">
      <w:pPr>
        <w:spacing w:after="0"/>
      </w:pPr>
      <w:r w:rsidRPr="0035523C">
        <w:t>The Association makes the final determination based on:</w:t>
      </w:r>
    </w:p>
    <w:p w14:paraId="0EF6E2B9" w14:textId="77777777" w:rsidR="0035523C" w:rsidRPr="0035523C" w:rsidRDefault="0035523C" w:rsidP="0035523C">
      <w:pPr>
        <w:numPr>
          <w:ilvl w:val="0"/>
          <w:numId w:val="12"/>
        </w:numPr>
        <w:spacing w:after="0"/>
      </w:pPr>
      <w:r w:rsidRPr="0035523C">
        <w:rPr>
          <w:b/>
          <w:bCs/>
        </w:rPr>
        <w:t>Scope of Service:</w:t>
      </w:r>
      <w:r w:rsidRPr="0035523C">
        <w:t xml:space="preserve"> Whether the line serves one unit or multiple units.</w:t>
      </w:r>
    </w:p>
    <w:p w14:paraId="30648CC1" w14:textId="77777777" w:rsidR="0035523C" w:rsidRPr="0035523C" w:rsidRDefault="0035523C" w:rsidP="0035523C">
      <w:pPr>
        <w:numPr>
          <w:ilvl w:val="0"/>
          <w:numId w:val="12"/>
        </w:numPr>
        <w:spacing w:after="0"/>
      </w:pPr>
      <w:r w:rsidRPr="0035523C">
        <w:rPr>
          <w:b/>
          <w:bCs/>
        </w:rPr>
        <w:t>Cause of Issue:</w:t>
      </w:r>
      <w:r w:rsidRPr="0035523C">
        <w:t xml:space="preserve"> Whether the issue is due to structural pipe failure or improper use.</w:t>
      </w:r>
    </w:p>
    <w:p w14:paraId="1C788EC6" w14:textId="77777777" w:rsidR="0035523C" w:rsidRPr="0035523C" w:rsidRDefault="0035523C" w:rsidP="0035523C">
      <w:pPr>
        <w:numPr>
          <w:ilvl w:val="0"/>
          <w:numId w:val="12"/>
        </w:numPr>
        <w:spacing w:after="0"/>
      </w:pPr>
      <w:r w:rsidRPr="0035523C">
        <w:rPr>
          <w:b/>
          <w:bCs/>
        </w:rPr>
        <w:t>Material Type:</w:t>
      </w:r>
      <w:r w:rsidRPr="0035523C">
        <w:t xml:space="preserve"> Whether the piping is original cast iron or owner-modified (ABS/PVC).</w:t>
      </w:r>
    </w:p>
    <w:p w14:paraId="580A006B" w14:textId="77777777" w:rsidR="0035523C" w:rsidRPr="0035523C" w:rsidRDefault="0035523C" w:rsidP="0035523C">
      <w:pPr>
        <w:numPr>
          <w:ilvl w:val="0"/>
          <w:numId w:val="12"/>
        </w:numPr>
        <w:spacing w:after="0"/>
      </w:pPr>
      <w:r w:rsidRPr="0035523C">
        <w:rPr>
          <w:b/>
          <w:bCs/>
        </w:rPr>
        <w:t>Professional Evaluation:</w:t>
      </w:r>
      <w:r w:rsidRPr="0035523C">
        <w:t xml:space="preserve"> Reports provided by the Association’s authorized plumbing vendor.</w:t>
      </w:r>
    </w:p>
    <w:p w14:paraId="5C216373" w14:textId="77777777" w:rsidR="0035523C" w:rsidRPr="000A1B7E" w:rsidRDefault="0035523C" w:rsidP="0035523C">
      <w:pPr>
        <w:spacing w:after="0"/>
      </w:pPr>
    </w:p>
    <w:sectPr w:rsidR="0035523C" w:rsidRPr="000A1B7E" w:rsidSect="001A53CA">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BC61" w14:textId="77777777" w:rsidR="00AE177E" w:rsidRDefault="00AE177E" w:rsidP="00A67352">
      <w:pPr>
        <w:spacing w:after="0" w:line="240" w:lineRule="auto"/>
      </w:pPr>
      <w:r>
        <w:separator/>
      </w:r>
    </w:p>
  </w:endnote>
  <w:endnote w:type="continuationSeparator" w:id="0">
    <w:p w14:paraId="713CEEBE" w14:textId="77777777" w:rsidR="00AE177E" w:rsidRDefault="00AE177E" w:rsidP="00A6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886C" w14:textId="77777777" w:rsidR="005878CF" w:rsidRDefault="00587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8BDC" w14:textId="3350DA8F" w:rsidR="007F6363" w:rsidRPr="007F6363" w:rsidRDefault="007F6363" w:rsidP="007F6363">
    <w:pPr>
      <w:jc w:val="center"/>
      <w:rPr>
        <w:b/>
        <w:bCs/>
        <w:sz w:val="18"/>
        <w:szCs w:val="18"/>
      </w:rPr>
    </w:pPr>
    <w:r w:rsidRPr="00B77590">
      <w:rPr>
        <w:b/>
        <w:bCs/>
        <w:sz w:val="18"/>
        <w:szCs w:val="18"/>
      </w:rPr>
      <w:t>K</w:t>
    </w:r>
    <w:r w:rsidRPr="007F6363">
      <w:rPr>
        <w:b/>
        <w:bCs/>
        <w:sz w:val="18"/>
        <w:szCs w:val="18"/>
      </w:rPr>
      <w:t>B</w:t>
    </w:r>
    <w:r w:rsidRPr="00B77590">
      <w:rPr>
        <w:b/>
        <w:bCs/>
        <w:sz w:val="18"/>
        <w:szCs w:val="18"/>
      </w:rPr>
      <w:t xml:space="preserve">C Sewer </w:t>
    </w:r>
    <w:r w:rsidR="005878CF">
      <w:rPr>
        <w:b/>
        <w:bCs/>
        <w:sz w:val="18"/>
        <w:szCs w:val="18"/>
      </w:rPr>
      <w:t>&amp;</w:t>
    </w:r>
    <w:r w:rsidRPr="00B77590">
      <w:rPr>
        <w:b/>
        <w:bCs/>
        <w:sz w:val="18"/>
        <w:szCs w:val="18"/>
      </w:rPr>
      <w:t xml:space="preserve"> Drain Line </w:t>
    </w:r>
    <w:r w:rsidR="00E47ED1">
      <w:rPr>
        <w:b/>
        <w:bCs/>
        <w:sz w:val="18"/>
        <w:szCs w:val="18"/>
      </w:rPr>
      <w:t xml:space="preserve">- </w:t>
    </w:r>
    <w:r w:rsidR="005878CF">
      <w:rPr>
        <w:b/>
        <w:bCs/>
        <w:sz w:val="18"/>
        <w:szCs w:val="18"/>
      </w:rPr>
      <w:t>M</w:t>
    </w:r>
    <w:r w:rsidR="007848B3">
      <w:rPr>
        <w:b/>
        <w:bCs/>
        <w:sz w:val="18"/>
        <w:szCs w:val="18"/>
      </w:rPr>
      <w:t xml:space="preserve">aintenance </w:t>
    </w:r>
    <w:r w:rsidR="00E47ED1">
      <w:rPr>
        <w:b/>
        <w:bCs/>
        <w:sz w:val="18"/>
        <w:szCs w:val="18"/>
      </w:rPr>
      <w:t>&amp; Repair</w:t>
    </w:r>
    <w:r w:rsidR="007848B3">
      <w:rPr>
        <w:b/>
        <w:bCs/>
        <w:sz w:val="18"/>
        <w:szCs w:val="18"/>
      </w:rPr>
      <w:t xml:space="preserve"> </w:t>
    </w:r>
    <w:r w:rsidR="005878CF">
      <w:rPr>
        <w:b/>
        <w:bCs/>
        <w:sz w:val="18"/>
        <w:szCs w:val="18"/>
      </w:rPr>
      <w:t>P</w:t>
    </w:r>
    <w:r w:rsidR="007848B3">
      <w:rPr>
        <w:b/>
        <w:bCs/>
        <w:sz w:val="18"/>
        <w:szCs w:val="18"/>
      </w:rPr>
      <w:t>olicy</w:t>
    </w:r>
    <w:r>
      <w:rPr>
        <w:b/>
        <w:bCs/>
        <w:sz w:val="18"/>
        <w:szCs w:val="18"/>
      </w:rPr>
      <w:t xml:space="preserve"> – </w:t>
    </w:r>
    <w:r w:rsidR="00E47ED1">
      <w:rPr>
        <w:b/>
        <w:bCs/>
        <w:sz w:val="18"/>
        <w:szCs w:val="18"/>
      </w:rPr>
      <w:t>4.18</w:t>
    </w:r>
    <w:r>
      <w:rPr>
        <w:b/>
        <w:bCs/>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15D1" w14:textId="77777777" w:rsidR="005878CF" w:rsidRDefault="00587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3848" w14:textId="77777777" w:rsidR="00AE177E" w:rsidRDefault="00AE177E" w:rsidP="00A67352">
      <w:pPr>
        <w:spacing w:after="0" w:line="240" w:lineRule="auto"/>
      </w:pPr>
      <w:r>
        <w:separator/>
      </w:r>
    </w:p>
  </w:footnote>
  <w:footnote w:type="continuationSeparator" w:id="0">
    <w:p w14:paraId="2B361EB0" w14:textId="77777777" w:rsidR="00AE177E" w:rsidRDefault="00AE177E" w:rsidP="00A6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73F9" w14:textId="77777777" w:rsidR="005878CF" w:rsidRDefault="00587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9F12" w14:textId="197D33E5" w:rsidR="00A67352" w:rsidRPr="00B77590" w:rsidRDefault="00A67352" w:rsidP="00A67352">
    <w:pPr>
      <w:jc w:val="center"/>
      <w:rPr>
        <w:b/>
        <w:bCs/>
        <w:sz w:val="32"/>
        <w:szCs w:val="32"/>
      </w:rPr>
    </w:pPr>
    <w:r w:rsidRPr="00B77590">
      <w:rPr>
        <w:b/>
        <w:bCs/>
        <w:sz w:val="32"/>
        <w:szCs w:val="32"/>
      </w:rPr>
      <w:t>K</w:t>
    </w:r>
    <w:r w:rsidRPr="00A67352">
      <w:rPr>
        <w:b/>
        <w:bCs/>
        <w:sz w:val="32"/>
        <w:szCs w:val="32"/>
      </w:rPr>
      <w:t>B</w:t>
    </w:r>
    <w:r w:rsidRPr="00B77590">
      <w:rPr>
        <w:b/>
        <w:bCs/>
        <w:sz w:val="32"/>
        <w:szCs w:val="32"/>
      </w:rPr>
      <w:t xml:space="preserve">C Sewer &amp; Drain Line </w:t>
    </w:r>
    <w:r w:rsidR="00930FE1">
      <w:rPr>
        <w:b/>
        <w:bCs/>
        <w:sz w:val="32"/>
        <w:szCs w:val="32"/>
      </w:rPr>
      <w:t xml:space="preserve">– Maintenance </w:t>
    </w:r>
    <w:r w:rsidR="00E47ED1">
      <w:rPr>
        <w:b/>
        <w:bCs/>
        <w:sz w:val="32"/>
        <w:szCs w:val="32"/>
      </w:rPr>
      <w:t>&amp;</w:t>
    </w:r>
    <w:r w:rsidR="00930FE1">
      <w:rPr>
        <w:b/>
        <w:bCs/>
        <w:sz w:val="32"/>
        <w:szCs w:val="32"/>
      </w:rPr>
      <w:t xml:space="preserve"> </w:t>
    </w:r>
    <w:r w:rsidR="00E47ED1">
      <w:rPr>
        <w:b/>
        <w:bCs/>
        <w:sz w:val="32"/>
        <w:szCs w:val="32"/>
      </w:rPr>
      <w:t>Repair</w:t>
    </w:r>
    <w:r w:rsidR="00930FE1">
      <w:rPr>
        <w:b/>
        <w:bCs/>
        <w:sz w:val="32"/>
        <w:szCs w:val="32"/>
      </w:rPr>
      <w:t xml:space="preserve"> Policy</w:t>
    </w:r>
  </w:p>
  <w:p w14:paraId="1134FB26" w14:textId="77777777" w:rsidR="00A67352" w:rsidRDefault="00A67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16D1" w14:textId="77777777" w:rsidR="005878CF" w:rsidRDefault="0058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0D74"/>
    <w:multiLevelType w:val="multilevel"/>
    <w:tmpl w:val="9E2EB59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8F825E8"/>
    <w:multiLevelType w:val="multilevel"/>
    <w:tmpl w:val="09F448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B2335"/>
    <w:multiLevelType w:val="multilevel"/>
    <w:tmpl w:val="BD4EDE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9221167"/>
    <w:multiLevelType w:val="multilevel"/>
    <w:tmpl w:val="7E420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22184"/>
    <w:multiLevelType w:val="multilevel"/>
    <w:tmpl w:val="04AE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B5222"/>
    <w:multiLevelType w:val="multilevel"/>
    <w:tmpl w:val="F20C543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14E68C7"/>
    <w:multiLevelType w:val="multilevel"/>
    <w:tmpl w:val="B512F1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8EB7C6B"/>
    <w:multiLevelType w:val="multilevel"/>
    <w:tmpl w:val="F21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F2315"/>
    <w:multiLevelType w:val="multilevel"/>
    <w:tmpl w:val="1B6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839EC"/>
    <w:multiLevelType w:val="hybridMultilevel"/>
    <w:tmpl w:val="A75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3740F"/>
    <w:multiLevelType w:val="multilevel"/>
    <w:tmpl w:val="7950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E0654"/>
    <w:multiLevelType w:val="multilevel"/>
    <w:tmpl w:val="FB5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825154">
    <w:abstractNumId w:val="10"/>
  </w:num>
  <w:num w:numId="2" w16cid:durableId="2114980072">
    <w:abstractNumId w:val="2"/>
  </w:num>
  <w:num w:numId="3" w16cid:durableId="1748383579">
    <w:abstractNumId w:val="6"/>
  </w:num>
  <w:num w:numId="4" w16cid:durableId="1155881595">
    <w:abstractNumId w:val="8"/>
  </w:num>
  <w:num w:numId="5" w16cid:durableId="222254043">
    <w:abstractNumId w:val="11"/>
  </w:num>
  <w:num w:numId="6" w16cid:durableId="278341022">
    <w:abstractNumId w:val="9"/>
  </w:num>
  <w:num w:numId="7" w16cid:durableId="1341590049">
    <w:abstractNumId w:val="0"/>
  </w:num>
  <w:num w:numId="8" w16cid:durableId="535309880">
    <w:abstractNumId w:val="5"/>
  </w:num>
  <w:num w:numId="9" w16cid:durableId="1772704024">
    <w:abstractNumId w:val="3"/>
  </w:num>
  <w:num w:numId="10" w16cid:durableId="1775052587">
    <w:abstractNumId w:val="7"/>
  </w:num>
  <w:num w:numId="11" w16cid:durableId="1072310095">
    <w:abstractNumId w:val="4"/>
  </w:num>
  <w:num w:numId="12" w16cid:durableId="153886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6F"/>
    <w:rsid w:val="00006EDF"/>
    <w:rsid w:val="000A1B7E"/>
    <w:rsid w:val="001A53CA"/>
    <w:rsid w:val="00220081"/>
    <w:rsid w:val="002409A0"/>
    <w:rsid w:val="00252841"/>
    <w:rsid w:val="00347726"/>
    <w:rsid w:val="0035523C"/>
    <w:rsid w:val="004228EB"/>
    <w:rsid w:val="004435C0"/>
    <w:rsid w:val="0049656F"/>
    <w:rsid w:val="004F05DB"/>
    <w:rsid w:val="005878CF"/>
    <w:rsid w:val="006710D3"/>
    <w:rsid w:val="00707697"/>
    <w:rsid w:val="007848B3"/>
    <w:rsid w:val="007F6363"/>
    <w:rsid w:val="00877234"/>
    <w:rsid w:val="0088381D"/>
    <w:rsid w:val="00906E3E"/>
    <w:rsid w:val="00930FE1"/>
    <w:rsid w:val="00A67352"/>
    <w:rsid w:val="00AE177E"/>
    <w:rsid w:val="00B459F0"/>
    <w:rsid w:val="00B77590"/>
    <w:rsid w:val="00BD6ECE"/>
    <w:rsid w:val="00BE2C7D"/>
    <w:rsid w:val="00D3265B"/>
    <w:rsid w:val="00D65A36"/>
    <w:rsid w:val="00DE2C0B"/>
    <w:rsid w:val="00E47ED1"/>
    <w:rsid w:val="00E533A0"/>
    <w:rsid w:val="00E76A87"/>
    <w:rsid w:val="00F3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76A"/>
  <w15:chartTrackingRefBased/>
  <w15:docId w15:val="{CDD153E4-E5A1-45A1-B222-4FD0356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56F"/>
    <w:rPr>
      <w:rFonts w:eastAsiaTheme="majorEastAsia" w:cstheme="majorBidi"/>
      <w:color w:val="272727" w:themeColor="text1" w:themeTint="D8"/>
    </w:rPr>
  </w:style>
  <w:style w:type="paragraph" w:styleId="Title">
    <w:name w:val="Title"/>
    <w:basedOn w:val="Normal"/>
    <w:next w:val="Normal"/>
    <w:link w:val="TitleChar"/>
    <w:uiPriority w:val="10"/>
    <w:qFormat/>
    <w:rsid w:val="00496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56F"/>
    <w:pPr>
      <w:spacing w:before="160"/>
      <w:jc w:val="center"/>
    </w:pPr>
    <w:rPr>
      <w:i/>
      <w:iCs/>
      <w:color w:val="404040" w:themeColor="text1" w:themeTint="BF"/>
    </w:rPr>
  </w:style>
  <w:style w:type="character" w:customStyle="1" w:styleId="QuoteChar">
    <w:name w:val="Quote Char"/>
    <w:basedOn w:val="DefaultParagraphFont"/>
    <w:link w:val="Quote"/>
    <w:uiPriority w:val="29"/>
    <w:rsid w:val="0049656F"/>
    <w:rPr>
      <w:i/>
      <w:iCs/>
      <w:color w:val="404040" w:themeColor="text1" w:themeTint="BF"/>
    </w:rPr>
  </w:style>
  <w:style w:type="paragraph" w:styleId="ListParagraph">
    <w:name w:val="List Paragraph"/>
    <w:basedOn w:val="Normal"/>
    <w:uiPriority w:val="34"/>
    <w:qFormat/>
    <w:rsid w:val="0049656F"/>
    <w:pPr>
      <w:ind w:left="720"/>
      <w:contextualSpacing/>
    </w:pPr>
  </w:style>
  <w:style w:type="character" w:styleId="IntenseEmphasis">
    <w:name w:val="Intense Emphasis"/>
    <w:basedOn w:val="DefaultParagraphFont"/>
    <w:uiPriority w:val="21"/>
    <w:qFormat/>
    <w:rsid w:val="0049656F"/>
    <w:rPr>
      <w:i/>
      <w:iCs/>
      <w:color w:val="2F5496" w:themeColor="accent1" w:themeShade="BF"/>
    </w:rPr>
  </w:style>
  <w:style w:type="paragraph" w:styleId="IntenseQuote">
    <w:name w:val="Intense Quote"/>
    <w:basedOn w:val="Normal"/>
    <w:next w:val="Normal"/>
    <w:link w:val="IntenseQuoteChar"/>
    <w:uiPriority w:val="30"/>
    <w:qFormat/>
    <w:rsid w:val="00496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56F"/>
    <w:rPr>
      <w:i/>
      <w:iCs/>
      <w:color w:val="2F5496" w:themeColor="accent1" w:themeShade="BF"/>
    </w:rPr>
  </w:style>
  <w:style w:type="character" w:styleId="IntenseReference">
    <w:name w:val="Intense Reference"/>
    <w:basedOn w:val="DefaultParagraphFont"/>
    <w:uiPriority w:val="32"/>
    <w:qFormat/>
    <w:rsid w:val="0049656F"/>
    <w:rPr>
      <w:b/>
      <w:bCs/>
      <w:smallCaps/>
      <w:color w:val="2F5496" w:themeColor="accent1" w:themeShade="BF"/>
      <w:spacing w:val="5"/>
    </w:rPr>
  </w:style>
  <w:style w:type="paragraph" w:styleId="Header">
    <w:name w:val="header"/>
    <w:basedOn w:val="Normal"/>
    <w:link w:val="HeaderChar"/>
    <w:uiPriority w:val="99"/>
    <w:unhideWhenUsed/>
    <w:rsid w:val="00A67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52"/>
  </w:style>
  <w:style w:type="paragraph" w:styleId="Footer">
    <w:name w:val="footer"/>
    <w:basedOn w:val="Normal"/>
    <w:link w:val="FooterChar"/>
    <w:uiPriority w:val="99"/>
    <w:unhideWhenUsed/>
    <w:rsid w:val="00A67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5AA4-DAFF-4373-A67E-1FA28F00E720}">
  <ds:schemaRefs>
    <ds:schemaRef ds:uri="http://schemas.openxmlformats.org/officeDocument/2006/bibliography"/>
  </ds:schemaRefs>
</ds:datastoreItem>
</file>

<file path=docMetadata/LabelInfo.xml><?xml version="1.0" encoding="utf-8"?>
<clbl:labelList xmlns:clbl="http://schemas.microsoft.com/office/2020/mipLabelMetadata">
  <clbl:label id="{8fcaca1c-04b8-40d7-944e-e72f4105afe1}" enabled="1" method="Standard" siteId="{a9c0bc09-8b46-4206-9351-2ba12fb4a5c0}" contentBits="0" removed="0"/>
</clbl:labelList>
</file>

<file path=docProps/app.xml><?xml version="1.0" encoding="utf-8"?>
<Properties xmlns="http://schemas.openxmlformats.org/officeDocument/2006/extended-properties" xmlns:vt="http://schemas.openxmlformats.org/officeDocument/2006/docPropsVTypes">
  <Template>Normal</Template>
  <TotalTime>122</TotalTime>
  <Pages>1</Pages>
  <Words>407</Words>
  <Characters>2208</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GAGLIARDI,STEVE (Agilent USA)</cp:lastModifiedBy>
  <cp:revision>14</cp:revision>
  <dcterms:created xsi:type="dcterms:W3CDTF">2026-01-04T23:29:00Z</dcterms:created>
  <dcterms:modified xsi:type="dcterms:W3CDTF">2026-05-06T03:13:00Z</dcterms:modified>
</cp:coreProperties>
</file>